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Group Classroom Exercise #4</w:t>
      </w:r>
    </w:p>
    <w:p w:rsidR="00000000" w:rsidDel="00000000" w:rsidP="00000000" w:rsidRDefault="00000000" w:rsidRPr="00000000" w14:paraId="00000002">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Preparing A Peer Company Analysis</w:t>
      </w:r>
    </w:p>
    <w:p w:rsidR="00000000" w:rsidDel="00000000" w:rsidP="00000000" w:rsidRDefault="00000000" w:rsidRPr="00000000" w14:paraId="00000003">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ACCT 416, Spring 2026</w:t>
      </w:r>
    </w:p>
    <w:p w:rsidR="00000000" w:rsidDel="00000000" w:rsidP="00000000" w:rsidRDefault="00000000" w:rsidRPr="00000000" w14:paraId="00000004">
      <w:pPr>
        <w:widowControl w:val="0"/>
        <w:spacing w:before="12.02392578125" w:line="240" w:lineRule="auto"/>
        <w:ind w:left="7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Prepared by Team 1 - Alexandre Kelkelyan, Basmah Hasan, Branden Soo, Daniel Yuan, Dylan Norona, Grace Baek, and Nicole Williams</w:t>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Questions:</w:t>
      </w:r>
    </w:p>
    <w:p w:rsidR="00000000" w:rsidDel="00000000" w:rsidP="00000000" w:rsidRDefault="00000000" w:rsidRPr="00000000" w14:paraId="0000000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List the steps necessary for revenue recognition under ASC 606 and discuss some of the</w:t>
      </w:r>
    </w:p>
    <w:p w:rsidR="00000000" w:rsidDel="00000000" w:rsidP="00000000" w:rsidRDefault="00000000" w:rsidRPr="00000000" w14:paraId="0000000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issues companies face when applying the revenue recognition rules.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Under ASC 606, revenue recognition is listed out using a five-step model. </w:t>
      </w:r>
      <w:r w:rsidDel="00000000" w:rsidR="00000000" w:rsidRPr="00000000">
        <w:rPr>
          <w:rFonts w:ascii="Times New Roman" w:cs="Times New Roman" w:eastAsia="Times New Roman" w:hAnsi="Times New Roman"/>
          <w:b w:val="1"/>
          <w:bCs w:val="1"/>
          <w:rtl w:val="0"/>
        </w:rPr>
        <w:t xml:space="preserve">First </w:t>
      </w:r>
      <w:r w:rsidDel="00000000" w:rsidR="00000000" w:rsidRPr="00000000">
        <w:rPr>
          <w:rFonts w:ascii="Times New Roman" w:cs="Times New Roman" w:eastAsia="Times New Roman" w:hAnsi="Times New Roman"/>
          <w:rtl w:val="0"/>
        </w:rPr>
        <w:t xml:space="preserve">the company identifies the contract(s) with the customer. </w:t>
      </w:r>
      <w:r w:rsidDel="00000000" w:rsidR="00000000" w:rsidRPr="00000000">
        <w:rPr>
          <w:rFonts w:ascii="Times New Roman" w:cs="Times New Roman" w:eastAsia="Times New Roman" w:hAnsi="Times New Roman"/>
          <w:b w:val="1"/>
          <w:bCs w:val="1"/>
          <w:rtl w:val="0"/>
        </w:rPr>
        <w:t xml:space="preserve">Second</w:t>
      </w:r>
      <w:r w:rsidDel="00000000" w:rsidR="00000000" w:rsidRPr="00000000">
        <w:rPr>
          <w:rFonts w:ascii="Times New Roman" w:cs="Times New Roman" w:eastAsia="Times New Roman" w:hAnsi="Times New Roman"/>
          <w:rtl w:val="0"/>
        </w:rPr>
        <w:t xml:space="preserve">, it identifies the performance obligations in the contract. </w:t>
      </w:r>
      <w:r w:rsidDel="00000000" w:rsidR="00000000" w:rsidRPr="00000000">
        <w:rPr>
          <w:rFonts w:ascii="Times New Roman" w:cs="Times New Roman" w:eastAsia="Times New Roman" w:hAnsi="Times New Roman"/>
          <w:b w:val="1"/>
          <w:bCs w:val="1"/>
          <w:rtl w:val="0"/>
        </w:rPr>
        <w:t xml:space="preserve">Third</w:t>
      </w:r>
      <w:r w:rsidDel="00000000" w:rsidR="00000000" w:rsidRPr="00000000">
        <w:rPr>
          <w:rFonts w:ascii="Times New Roman" w:cs="Times New Roman" w:eastAsia="Times New Roman" w:hAnsi="Times New Roman"/>
          <w:rtl w:val="0"/>
        </w:rPr>
        <w:t xml:space="preserve">, it determines the transaction price. </w:t>
      </w:r>
      <w:r w:rsidDel="00000000" w:rsidR="00000000" w:rsidRPr="00000000">
        <w:rPr>
          <w:rFonts w:ascii="Times New Roman" w:cs="Times New Roman" w:eastAsia="Times New Roman" w:hAnsi="Times New Roman"/>
          <w:b w:val="1"/>
          <w:bCs w:val="1"/>
          <w:rtl w:val="0"/>
        </w:rPr>
        <w:t xml:space="preserve">Fourth</w:t>
      </w:r>
      <w:r w:rsidDel="00000000" w:rsidR="00000000" w:rsidRPr="00000000">
        <w:rPr>
          <w:rFonts w:ascii="Times New Roman" w:cs="Times New Roman" w:eastAsia="Times New Roman" w:hAnsi="Times New Roman"/>
          <w:rtl w:val="0"/>
        </w:rPr>
        <w:t xml:space="preserve">, it allocates the transaction price to the performance obligations. </w:t>
      </w:r>
      <w:r w:rsidDel="00000000" w:rsidR="00000000" w:rsidRPr="00000000">
        <w:rPr>
          <w:rFonts w:ascii="Times New Roman" w:cs="Times New Roman" w:eastAsia="Times New Roman" w:hAnsi="Times New Roman"/>
          <w:b w:val="1"/>
          <w:bCs w:val="1"/>
          <w:rtl w:val="0"/>
        </w:rPr>
        <w:t xml:space="preserve">Fifth</w:t>
      </w:r>
      <w:r w:rsidDel="00000000" w:rsidR="00000000" w:rsidRPr="00000000">
        <w:rPr>
          <w:rFonts w:ascii="Times New Roman" w:cs="Times New Roman" w:eastAsia="Times New Roman" w:hAnsi="Times New Roman"/>
          <w:rtl w:val="0"/>
        </w:rPr>
        <w:t xml:space="preserve">, it recognizes revenue when (or as) each performance obligation is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Satisfied. </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Companies face many issues when it comes to applying revenue recognition rules. One major issue is determining whether goods or services are “distinct,” since this affects whether revenue is recognized separately or bundled together. Another challenge is estimating the transaction price when there is variable consideration, such as discounts, rebates, refunds, or performance incentives. Companies also need to consider the time value of money when payments are delayed, as well as situations involving noncash consideration or payments made back to customers.</w:t>
      </w:r>
    </w:p>
    <w:p w:rsidR="00000000" w:rsidDel="00000000" w:rsidP="00000000" w:rsidRDefault="00000000" w:rsidRPr="00000000" w14:paraId="0000000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key judgment area is deciding whether revenue should be recognized at a point in time or over time, especially for long-term contracts like construction or service arrangements. The lectures also highlight specific problem areas such as nonrefundable upfront fees, bill-and-hold arrangements, consignment sales, licenses, and franchises. In addition, deferred revenue and long-term contracts using methods like cost-to-cost can make timing and measurement more complex. Overall, revenue recognition requires significant judgment, which creates opportunities for both estimation error and potential earnings management.</w:t>
      </w:r>
    </w:p>
    <w:p w:rsidR="00000000" w:rsidDel="00000000" w:rsidP="00000000" w:rsidRDefault="00000000" w:rsidRPr="00000000" w14:paraId="0000000D">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Provide a listing of concerns that lenders/credit rating agencies may have with particular</w:t>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borrowers, that might affect either the risk premium charged (lenders) or credit rating</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assigned (credit rating agencies).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Lenders and credit rating agencies are focused on the borrower’s ability and willingness to repay debt. One major concern is the overall chance of default, which includes understanding the purpose of the borrowing, the borrower’s business model, and the company’s position within its industry. They also care about macroeconomic and industry conditions, since a weak economy or difficult industry environment can increase credit risk. Competitive position matters as well, because companies with weaker market positions may have less stable cash flows and less ability to withstand downturns.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They also closely evaluate financial risk through profitability, liquidity, solvency, and coverage measures. For example, lenders and rating agencies may worry about weak operating performance, low cash flow generation, high leverage, poor current or quick ratios, and weak interest coverage. If a borrower already carries significant debt, it may face a higher risk premium or a lower credit rating because its fixed obligations are harder to meet. They also consider the likely loss given default by looking at collateral, seniority of the debt, repayment terms, credit limits, and covenant protections. Credit rating agencies may further consider country risk, industry risk, and how the company compares with similar borrowers or debt issues already in the market. Overall, anything that weakens expected repayment or increases risk can lead lenders to demand a higher return and credit agencies to assign a lower rating.</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Briefly explain the concepts of “authorized shares”, “issued shares” and “outstanding</w:t>
      </w:r>
    </w:p>
    <w:p w:rsidR="00000000" w:rsidDel="00000000" w:rsidP="00000000" w:rsidRDefault="00000000" w:rsidRPr="00000000" w14:paraId="0000001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shares” in the equity section of a company’s balance sheet.</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Authorized shares are the maximum number of shares a corporation is legally allowed to issue under its corporate charter or articles of incorporation. Issued shares are the number of shares the company has actually issued to investors over time. Outstanding shares are the shares that are currently held by investors, which means issued shares minus any treasury shares the company has repurchased and still holds. Pretty much authorized shares represent the legal limit, issued shares represent what the company has put into circulation at some point, and outstanding shares represent the shares currently in investors’ hands.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